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5F294D" w:rsidRPr="005F294D" w:rsidRDefault="005F294D" w:rsidP="005F294D">
      <w:pPr>
        <w:pStyle w:val="Tekstpodstawowy2"/>
        <w:jc w:val="center"/>
        <w:rPr>
          <w:rFonts w:cs="Arial"/>
          <w:bCs/>
          <w:i/>
          <w:iCs/>
          <w:sz w:val="32"/>
          <w:szCs w:val="32"/>
          <w:lang w:eastAsia="ar-SA"/>
        </w:rPr>
      </w:pPr>
      <w:bookmarkStart w:id="0" w:name="_Hlk504553119"/>
      <w:r w:rsidRPr="005F294D">
        <w:rPr>
          <w:rFonts w:cs="Arial"/>
          <w:bCs/>
          <w:i/>
          <w:iCs/>
          <w:sz w:val="32"/>
          <w:szCs w:val="32"/>
          <w:lang w:eastAsia="ar-SA"/>
        </w:rPr>
        <w:t xml:space="preserve">DOSTAWA WRAZ Z MONTAŻEM </w:t>
      </w:r>
      <w:r w:rsidRPr="005F294D">
        <w:rPr>
          <w:rFonts w:cs="Arial"/>
          <w:bCs/>
          <w:i/>
          <w:iCs/>
          <w:sz w:val="32"/>
          <w:szCs w:val="32"/>
          <w:lang w:eastAsia="ar-SA"/>
        </w:rPr>
        <w:br/>
        <w:t xml:space="preserve">TRANSFORMATORÓW 15/04 </w:t>
      </w:r>
      <w:proofErr w:type="spellStart"/>
      <w:r w:rsidRPr="005F294D">
        <w:rPr>
          <w:rFonts w:cs="Arial"/>
          <w:bCs/>
          <w:i/>
          <w:iCs/>
          <w:sz w:val="32"/>
          <w:szCs w:val="32"/>
          <w:lang w:eastAsia="ar-SA"/>
        </w:rPr>
        <w:t>kV</w:t>
      </w:r>
      <w:proofErr w:type="spellEnd"/>
    </w:p>
    <w:bookmarkEnd w:id="0"/>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FD1A3B" w:rsidRPr="00F817F6">
        <w:rPr>
          <w:rFonts w:ascii="Arial" w:hAnsi="Arial" w:cs="Arial"/>
          <w:b/>
        </w:rPr>
        <w:t xml:space="preserve">w ciągu </w:t>
      </w:r>
      <w:r w:rsidR="005F294D">
        <w:rPr>
          <w:rFonts w:ascii="Arial" w:hAnsi="Arial" w:cs="Arial"/>
          <w:b/>
        </w:rPr>
        <w:t>3</w:t>
      </w:r>
      <w:r w:rsidR="00BD4B47">
        <w:rPr>
          <w:rFonts w:ascii="Arial" w:hAnsi="Arial" w:cs="Arial"/>
          <w:b/>
        </w:rPr>
        <w:t xml:space="preserve"> miesięcy</w:t>
      </w:r>
      <w:r w:rsidR="00FD1A3B" w:rsidRPr="00F817F6">
        <w:rPr>
          <w:rFonts w:ascii="Arial" w:hAnsi="Arial" w:cs="Arial"/>
          <w:b/>
        </w:rPr>
        <w:t xml:space="preserve"> od </w:t>
      </w:r>
      <w:r w:rsidR="0043326C">
        <w:rPr>
          <w:rFonts w:ascii="Arial" w:hAnsi="Arial" w:cs="Arial"/>
          <w:b/>
        </w:rPr>
        <w:t xml:space="preserve">dnia </w:t>
      </w:r>
      <w:r w:rsidR="00FD1A3B" w:rsidRPr="00F817F6">
        <w:rPr>
          <w:rFonts w:ascii="Arial" w:hAnsi="Arial" w:cs="Arial"/>
          <w:b/>
        </w:rPr>
        <w:t>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lastRenderedPageBreak/>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rsidP="001E72A6">
      <w:pPr>
        <w:rPr>
          <w:rFonts w:ascii="Arial" w:hAnsi="Arial"/>
          <w:i/>
          <w:iCs/>
        </w:rPr>
      </w:pPr>
    </w:p>
    <w:p w:rsidR="005F294D" w:rsidRDefault="005F294D" w:rsidP="001E72A6">
      <w:pPr>
        <w:rPr>
          <w:rFonts w:ascii="Arial" w:hAnsi="Arial"/>
          <w:i/>
          <w:iCs/>
        </w:rPr>
      </w:pPr>
    </w:p>
    <w:p w:rsidR="005F294D" w:rsidRDefault="005F294D" w:rsidP="001E72A6">
      <w:pPr>
        <w:rPr>
          <w:rFonts w:ascii="Arial" w:hAnsi="Arial"/>
          <w:i/>
          <w:iCs/>
        </w:rPr>
      </w:pPr>
    </w:p>
    <w:p w:rsidR="005F294D" w:rsidRDefault="005F294D" w:rsidP="001E72A6">
      <w:pPr>
        <w:rPr>
          <w:rFonts w:ascii="Arial" w:hAnsi="Arial"/>
          <w:i/>
          <w:iCs/>
        </w:rPr>
      </w:pPr>
    </w:p>
    <w:p w:rsidR="005F294D" w:rsidRDefault="005F294D" w:rsidP="001E72A6">
      <w:pPr>
        <w:rPr>
          <w:rFonts w:ascii="Arial" w:hAnsi="Arial"/>
          <w:i/>
          <w:iCs/>
        </w:rPr>
      </w:pPr>
    </w:p>
    <w:p w:rsidR="005F294D" w:rsidRDefault="005F294D" w:rsidP="001E72A6">
      <w:pPr>
        <w:rPr>
          <w:rFonts w:ascii="Arial" w:hAnsi="Arial"/>
          <w:i/>
          <w:iCs/>
        </w:rPr>
      </w:pPr>
    </w:p>
    <w:p w:rsidR="005F294D" w:rsidRDefault="005F294D" w:rsidP="001E72A6">
      <w:pPr>
        <w:rPr>
          <w:rFonts w:ascii="Arial" w:hAnsi="Arial"/>
          <w:i/>
          <w:iCs/>
        </w:rPr>
      </w:pPr>
    </w:p>
    <w:p w:rsidR="00BD4B47" w:rsidRDefault="00BD4B47">
      <w:pPr>
        <w:jc w:val="right"/>
        <w:rPr>
          <w:rFonts w:ascii="Arial" w:hAnsi="Arial"/>
          <w:i/>
          <w:iCs/>
        </w:rPr>
      </w:pPr>
    </w:p>
    <w:p w:rsidR="00BD4B47" w:rsidRDefault="00BD4B47">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5F294D" w:rsidRDefault="005F294D" w:rsidP="005F294D">
      <w:pPr>
        <w:jc w:val="center"/>
        <w:rPr>
          <w:rFonts w:ascii="Arial" w:hAnsi="Arial"/>
          <w:b/>
          <w:bCs/>
          <w:i/>
          <w:iCs/>
          <w:sz w:val="28"/>
          <w:szCs w:val="36"/>
        </w:rPr>
      </w:pPr>
    </w:p>
    <w:p w:rsidR="005F294D" w:rsidRPr="005F294D" w:rsidRDefault="005F294D" w:rsidP="005F294D">
      <w:pPr>
        <w:jc w:val="center"/>
        <w:rPr>
          <w:rFonts w:ascii="Arial" w:hAnsi="Arial"/>
          <w:b/>
          <w:bCs/>
          <w:i/>
          <w:iCs/>
          <w:sz w:val="28"/>
          <w:szCs w:val="36"/>
        </w:rPr>
      </w:pPr>
      <w:r w:rsidRPr="005F294D">
        <w:rPr>
          <w:rFonts w:ascii="Arial" w:hAnsi="Arial"/>
          <w:b/>
          <w:bCs/>
          <w:i/>
          <w:iCs/>
          <w:sz w:val="28"/>
          <w:szCs w:val="36"/>
        </w:rPr>
        <w:t xml:space="preserve">DOSTAWA WRAZ Z MONTAŻEM </w:t>
      </w:r>
      <w:r w:rsidRPr="005F294D">
        <w:rPr>
          <w:rFonts w:ascii="Arial" w:hAnsi="Arial"/>
          <w:b/>
          <w:bCs/>
          <w:i/>
          <w:iCs/>
          <w:sz w:val="28"/>
          <w:szCs w:val="36"/>
        </w:rPr>
        <w:br/>
        <w:t xml:space="preserve">TRANSFORMATORÓW 15/04 </w:t>
      </w:r>
      <w:proofErr w:type="spellStart"/>
      <w:r w:rsidRPr="005F294D">
        <w:rPr>
          <w:rFonts w:ascii="Arial" w:hAnsi="Arial"/>
          <w:b/>
          <w:bCs/>
          <w:i/>
          <w:iCs/>
          <w:sz w:val="28"/>
          <w:szCs w:val="36"/>
        </w:rPr>
        <w:t>kV</w:t>
      </w:r>
      <w:proofErr w:type="spellEnd"/>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5F294D" w:rsidRDefault="005F294D">
      <w:pPr>
        <w:jc w:val="both"/>
        <w:rPr>
          <w:rFonts w:ascii="Arial" w:hAnsi="Arial"/>
          <w:color w:val="000000"/>
        </w:rPr>
      </w:pPr>
    </w:p>
    <w:p w:rsidR="005F294D" w:rsidRDefault="005F294D">
      <w:pPr>
        <w:jc w:val="both"/>
        <w:rPr>
          <w:rFonts w:ascii="Arial" w:hAnsi="Arial"/>
          <w:color w:val="000000"/>
        </w:rPr>
      </w:pPr>
    </w:p>
    <w:p w:rsidR="00360A97" w:rsidRDefault="005F294D">
      <w:pPr>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 xml:space="preserve">(podać mającą zastosowanie podstawę wykluczenia spośród wymienionych w pkt 3.2. SIWZ </w:t>
      </w:r>
      <w:proofErr w:type="spellStart"/>
      <w:r w:rsidR="00360A97">
        <w:rPr>
          <w:rFonts w:ascii="Arial" w:hAnsi="Arial"/>
          <w:i/>
          <w:iCs/>
          <w:color w:val="000000"/>
          <w:sz w:val="22"/>
          <w:szCs w:val="22"/>
        </w:rPr>
        <w:t>ppkt</w:t>
      </w:r>
      <w:proofErr w:type="spellEnd"/>
      <w:r w:rsidR="00360A97">
        <w:rPr>
          <w:rFonts w:ascii="Arial" w:hAnsi="Arial"/>
          <w:i/>
          <w:iCs/>
          <w:color w:val="000000"/>
          <w:sz w:val="22"/>
          <w:szCs w:val="22"/>
        </w:rPr>
        <w:t xml:space="preserve">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5F294D">
      <w:pPr>
        <w:jc w:val="both"/>
        <w:rPr>
          <w:rFonts w:ascii="Arial" w:hAnsi="Arial"/>
          <w:i/>
          <w:iCs/>
          <w:color w:val="000000"/>
          <w:sz w:val="18"/>
          <w:szCs w:val="18"/>
        </w:rPr>
      </w:pPr>
      <w:r>
        <w:rPr>
          <w:rFonts w:ascii="Arial" w:hAnsi="Arial"/>
          <w:i/>
          <w:iCs/>
          <w:color w:val="000000"/>
          <w:sz w:val="18"/>
          <w:szCs w:val="18"/>
        </w:rPr>
        <w:t>** nie wypełniać jeżeli nie dotyczy</w:t>
      </w:r>
    </w:p>
    <w:p w:rsidR="00360A97" w:rsidRDefault="00360A97">
      <w:pPr>
        <w:jc w:val="center"/>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5F294D" w:rsidRDefault="005F294D">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5F294D" w:rsidRDefault="005F294D">
      <w:pPr>
        <w:jc w:val="both"/>
        <w:rPr>
          <w:rFonts w:ascii="Arial" w:hAnsi="Arial" w:cs="Arial"/>
          <w:i/>
          <w:iCs/>
          <w:color w:val="000000"/>
          <w:sz w:val="18"/>
          <w:szCs w:val="18"/>
        </w:rPr>
      </w:pPr>
    </w:p>
    <w:p w:rsidR="00360A97" w:rsidRDefault="005F294D">
      <w:pPr>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pStyle w:val="Tytu"/>
        <w:ind w:left="2124" w:firstLine="708"/>
        <w:jc w:val="right"/>
        <w:rPr>
          <w:rFonts w:cs="Arial"/>
          <w:i/>
          <w:iCs/>
          <w:sz w:val="22"/>
        </w:rPr>
      </w:pPr>
      <w:r>
        <w:rPr>
          <w:rFonts w:cs="Arial"/>
          <w:i/>
          <w:iCs/>
          <w:sz w:val="22"/>
        </w:rPr>
        <w:lastRenderedPageBreak/>
        <w:t xml:space="preserve">Załącznik nr </w:t>
      </w:r>
      <w:r w:rsidR="005F294D">
        <w:rPr>
          <w:rFonts w:cs="Arial"/>
          <w:i/>
          <w:iCs/>
          <w:sz w:val="22"/>
        </w:rPr>
        <w:t>3</w:t>
      </w:r>
      <w:r>
        <w:rPr>
          <w:rFonts w:cs="Arial"/>
          <w:i/>
          <w:iCs/>
          <w:sz w:val="22"/>
        </w:rPr>
        <w:t xml:space="preserve">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5F294D">
        <w:rPr>
          <w:rFonts w:cs="Arial"/>
          <w:bCs/>
          <w:sz w:val="22"/>
          <w:szCs w:val="22"/>
        </w:rPr>
        <w:t>….</w:t>
      </w:r>
      <w:r w:rsidRPr="00D9140C">
        <w:rPr>
          <w:rFonts w:cs="Arial"/>
          <w:bCs/>
          <w:sz w:val="22"/>
          <w:szCs w:val="22"/>
        </w:rPr>
        <w:t>/201</w:t>
      </w:r>
      <w:r w:rsidR="005F294D">
        <w:rPr>
          <w:rFonts w:cs="Arial"/>
          <w:bCs/>
          <w:sz w:val="22"/>
          <w:szCs w:val="22"/>
        </w:rPr>
        <w:t>9</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5F294D" w:rsidRDefault="005F294D" w:rsidP="005F294D">
      <w:pPr>
        <w:pStyle w:val="Akapitzlist"/>
        <w:numPr>
          <w:ilvl w:val="0"/>
          <w:numId w:val="44"/>
        </w:numPr>
        <w:tabs>
          <w:tab w:val="left" w:pos="-720"/>
          <w:tab w:val="num" w:pos="437"/>
        </w:tabs>
        <w:suppressAutoHyphens/>
        <w:jc w:val="both"/>
        <w:rPr>
          <w:rFonts w:ascii="Arial" w:hAnsi="Arial" w:cs="Arial"/>
          <w:spacing w:val="-2"/>
          <w:sz w:val="22"/>
          <w:szCs w:val="22"/>
        </w:rPr>
      </w:pPr>
      <w:r w:rsidRPr="005F294D">
        <w:rPr>
          <w:rFonts w:ascii="Arial" w:hAnsi="Arial" w:cs="Arial"/>
          <w:spacing w:val="-2"/>
          <w:sz w:val="22"/>
          <w:szCs w:val="22"/>
        </w:rPr>
        <w:t>……………………………………………….</w:t>
      </w:r>
    </w:p>
    <w:p w:rsidR="005F294D" w:rsidRPr="005F294D" w:rsidRDefault="005F294D" w:rsidP="005F294D">
      <w:pPr>
        <w:pStyle w:val="Akapitzlist"/>
        <w:numPr>
          <w:ilvl w:val="0"/>
          <w:numId w:val="44"/>
        </w:numPr>
        <w:tabs>
          <w:tab w:val="left" w:pos="-720"/>
          <w:tab w:val="num" w:pos="437"/>
        </w:tabs>
        <w:suppressAutoHyphens/>
        <w:jc w:val="both"/>
        <w:rPr>
          <w:rFonts w:ascii="Arial" w:hAnsi="Arial" w:cs="Arial"/>
          <w:spacing w:val="-2"/>
          <w:sz w:val="22"/>
          <w:szCs w:val="22"/>
        </w:rPr>
      </w:pPr>
      <w:r>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BB363E">
        <w:rPr>
          <w:rFonts w:ascii="Arial" w:hAnsi="Arial" w:cs="Arial"/>
          <w:b/>
          <w:sz w:val="22"/>
          <w:szCs w:val="22"/>
        </w:rPr>
        <w:t>„</w:t>
      </w:r>
      <w:r w:rsidR="005F294D">
        <w:rPr>
          <w:rFonts w:ascii="Arial" w:hAnsi="Arial" w:cs="Arial"/>
          <w:b/>
          <w:sz w:val="22"/>
          <w:szCs w:val="22"/>
        </w:rPr>
        <w:t xml:space="preserve">Dostawa wraz z montażem transformatorów 15/04 </w:t>
      </w:r>
      <w:proofErr w:type="spellStart"/>
      <w:r w:rsidR="005F294D">
        <w:rPr>
          <w:rFonts w:ascii="Arial" w:hAnsi="Arial" w:cs="Arial"/>
          <w:b/>
          <w:sz w:val="22"/>
          <w:szCs w:val="22"/>
        </w:rPr>
        <w:t>kV</w:t>
      </w:r>
      <w:proofErr w:type="spellEnd"/>
      <w:r w:rsidR="00BB363E" w:rsidRPr="00BB363E">
        <w:rPr>
          <w:rFonts w:ascii="Arial" w:hAnsi="Arial" w:cs="Arial"/>
          <w:b/>
          <w:sz w:val="22"/>
          <w:szCs w:val="22"/>
        </w:rPr>
        <w:t>”</w:t>
      </w:r>
      <w:r w:rsidR="00BB363E">
        <w:rPr>
          <w:rFonts w:ascii="Arial" w:hAnsi="Arial" w:cs="Arial"/>
          <w:sz w:val="22"/>
          <w:szCs w:val="22"/>
        </w:rPr>
        <w:t xml:space="preserve"> </w:t>
      </w:r>
      <w:r w:rsidRPr="00D433F1">
        <w:rPr>
          <w:rFonts w:ascii="Arial" w:hAnsi="Arial" w:cs="Arial"/>
          <w:sz w:val="22"/>
          <w:szCs w:val="22"/>
        </w:rPr>
        <w:t>obejmujące następujące roboty:</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 xml:space="preserve">demontaż istniejących transformatorów wraz  głowicami, złączy </w:t>
      </w:r>
      <w:proofErr w:type="spellStart"/>
      <w:r w:rsidRPr="005F294D">
        <w:rPr>
          <w:rFonts w:ascii="Arial" w:hAnsi="Arial"/>
          <w:sz w:val="22"/>
          <w:szCs w:val="22"/>
        </w:rPr>
        <w:t>nN</w:t>
      </w:r>
      <w:proofErr w:type="spellEnd"/>
      <w:r w:rsidRPr="005F294D">
        <w:rPr>
          <w:rFonts w:ascii="Arial" w:hAnsi="Arial"/>
          <w:sz w:val="22"/>
          <w:szCs w:val="22"/>
        </w:rPr>
        <w:t>, podstaw żelbetowych pod transformatory, uziomów;</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wykonanie nowych podstaw płytowych pod transformatory;</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montaż na postumentach nowych transformatorów wraz z ich podłączeniem;</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 xml:space="preserve">montaż nowych wyposażonych złącz </w:t>
      </w:r>
      <w:proofErr w:type="spellStart"/>
      <w:r w:rsidRPr="005F294D">
        <w:rPr>
          <w:rFonts w:ascii="Arial" w:hAnsi="Arial"/>
          <w:sz w:val="22"/>
          <w:szCs w:val="22"/>
        </w:rPr>
        <w:t>nN</w:t>
      </w:r>
      <w:proofErr w:type="spellEnd"/>
      <w:r w:rsidRPr="005F294D">
        <w:rPr>
          <w:rFonts w:ascii="Arial" w:hAnsi="Arial"/>
          <w:sz w:val="22"/>
          <w:szCs w:val="22"/>
        </w:rPr>
        <w:t>;</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wykonanie nowych uziemień roboczych i ochronnych transformatorów i ogrodzeń;</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wykonanie nakładki z siatki ogrodzeniowej na istniejące ogrodzenia panelowe celem zagęszczenia oczek;</w:t>
      </w:r>
    </w:p>
    <w:p w:rsidR="005F294D" w:rsidRPr="005F294D" w:rsidRDefault="005F294D" w:rsidP="005F294D">
      <w:pPr>
        <w:pStyle w:val="Akapitzlist"/>
        <w:numPr>
          <w:ilvl w:val="1"/>
          <w:numId w:val="36"/>
        </w:numPr>
        <w:tabs>
          <w:tab w:val="left" w:pos="360"/>
        </w:tabs>
        <w:suppressAutoHyphens/>
        <w:jc w:val="both"/>
        <w:rPr>
          <w:rFonts w:ascii="Arial" w:hAnsi="Arial"/>
          <w:sz w:val="22"/>
          <w:szCs w:val="22"/>
        </w:rPr>
      </w:pPr>
      <w:r w:rsidRPr="005F294D">
        <w:rPr>
          <w:rFonts w:ascii="Arial" w:hAnsi="Arial"/>
          <w:sz w:val="22"/>
          <w:szCs w:val="22"/>
        </w:rPr>
        <w:t>wykonanie wymaganych oznaczeń;</w:t>
      </w:r>
    </w:p>
    <w:p w:rsidR="005F294D" w:rsidRPr="005F294D" w:rsidRDefault="005F294D" w:rsidP="005F294D">
      <w:pPr>
        <w:pStyle w:val="Akapitzlist"/>
        <w:numPr>
          <w:ilvl w:val="1"/>
          <w:numId w:val="36"/>
        </w:numPr>
        <w:tabs>
          <w:tab w:val="left" w:pos="360"/>
        </w:tabs>
        <w:suppressAutoHyphens/>
        <w:jc w:val="both"/>
        <w:rPr>
          <w:rFonts w:ascii="Arial" w:hAnsi="Arial" w:cs="Arial"/>
          <w:sz w:val="22"/>
          <w:szCs w:val="22"/>
          <w:lang w:eastAsia="ar-SA"/>
        </w:rPr>
      </w:pPr>
      <w:r w:rsidRPr="005F294D">
        <w:rPr>
          <w:rFonts w:ascii="Arial" w:hAnsi="Arial"/>
          <w:sz w:val="22"/>
          <w:szCs w:val="22"/>
        </w:rPr>
        <w:t>wykonanie wymaganych pomiarów sprawdzających i odbiorczych</w:t>
      </w:r>
      <w:r>
        <w:rPr>
          <w:rFonts w:ascii="Arial" w:hAnsi="Arial"/>
          <w:sz w:val="22"/>
          <w:szCs w:val="22"/>
        </w:rPr>
        <w:t>,</w:t>
      </w:r>
    </w:p>
    <w:p w:rsidR="00D433F1" w:rsidRPr="00BB363E" w:rsidRDefault="00D433F1" w:rsidP="005F294D">
      <w:pPr>
        <w:pStyle w:val="Akapitzlist"/>
        <w:numPr>
          <w:ilvl w:val="1"/>
          <w:numId w:val="36"/>
        </w:numPr>
        <w:tabs>
          <w:tab w:val="left" w:pos="360"/>
        </w:tabs>
        <w:suppressAutoHyphens/>
        <w:jc w:val="both"/>
        <w:rPr>
          <w:rFonts w:ascii="Arial" w:hAnsi="Arial" w:cs="Arial"/>
          <w:sz w:val="22"/>
          <w:szCs w:val="22"/>
          <w:lang w:eastAsia="ar-SA"/>
        </w:rPr>
      </w:pPr>
      <w:r w:rsidRPr="00BB363E">
        <w:rPr>
          <w:rFonts w:ascii="Arial" w:hAnsi="Arial"/>
          <w:sz w:val="22"/>
          <w:szCs w:val="22"/>
        </w:rPr>
        <w:t xml:space="preserve">wykonanie prac towarzyszących i pomocniczych związanych z robotami budowlanymi określonymi w </w:t>
      </w:r>
      <w:r w:rsidR="007D0A44">
        <w:rPr>
          <w:rFonts w:ascii="Arial" w:hAnsi="Arial"/>
          <w:sz w:val="22"/>
          <w:szCs w:val="22"/>
        </w:rPr>
        <w:t>projekcie i „O</w:t>
      </w:r>
      <w:r w:rsidRPr="00BB363E">
        <w:rPr>
          <w:rFonts w:ascii="Arial" w:hAnsi="Arial"/>
          <w:sz w:val="22"/>
          <w:szCs w:val="22"/>
        </w:rPr>
        <w:t>pisie przedmiotu zamówienia</w:t>
      </w:r>
      <w:r w:rsidR="007D0A44">
        <w:rPr>
          <w:rFonts w:ascii="Arial" w:hAnsi="Arial"/>
          <w:sz w:val="22"/>
          <w:szCs w:val="22"/>
        </w:rPr>
        <w:t>”</w:t>
      </w:r>
      <w:r w:rsidRPr="00BB363E">
        <w:rPr>
          <w:rFonts w:ascii="Arial" w:hAnsi="Arial"/>
          <w:sz w:val="22"/>
          <w:szCs w:val="22"/>
        </w:rPr>
        <w:t>, których wykonanie będzie konieczne do osiągnięcia zamierzonego celu, zgodnie ze sztuką budowlaną</w:t>
      </w:r>
      <w:r w:rsidR="001E72A6">
        <w:rPr>
          <w:rFonts w:ascii="Arial" w:hAnsi="Arial"/>
          <w:sz w:val="22"/>
          <w:szCs w:val="22"/>
        </w:rPr>
        <w:t>.</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dokumentacji projektowej i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r w:rsidR="00946FEF">
        <w:rPr>
          <w:rFonts w:ascii="Arial" w:eastAsia="Calibri" w:hAnsi="Arial" w:cs="Arial"/>
          <w:sz w:val="22"/>
          <w:szCs w:val="22"/>
          <w:lang w:eastAsia="en-US"/>
        </w:rPr>
        <w:t xml:space="preserve"> </w:t>
      </w:r>
    </w:p>
    <w:p w:rsidR="00D433F1" w:rsidRPr="00946FEF" w:rsidRDefault="00D433F1" w:rsidP="00D433F1">
      <w:pPr>
        <w:numPr>
          <w:ilvl w:val="0"/>
          <w:numId w:val="29"/>
        </w:numPr>
        <w:tabs>
          <w:tab w:val="center" w:pos="5016"/>
          <w:tab w:val="right" w:pos="9552"/>
        </w:tabs>
        <w:spacing w:line="260" w:lineRule="atLeast"/>
        <w:jc w:val="both"/>
        <w:rPr>
          <w:sz w:val="22"/>
          <w:szCs w:val="22"/>
          <w:lang w:eastAsia="ar-SA"/>
        </w:rPr>
      </w:pPr>
      <w:r w:rsidRPr="00946FEF">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i dokumentacji projektowej. Roboty zamienne zostaną rozliczone na podstawie protokołu konieczności wykonania tych robót i kosztorysu sporządzonego na zasadach określonych w § 7 ust. 5. </w:t>
      </w:r>
      <w:r w:rsidRPr="00946FEF">
        <w:rPr>
          <w:rFonts w:ascii="Arial" w:hAnsi="Arial" w:cs="Arial"/>
          <w:bCs/>
          <w:sz w:val="22"/>
          <w:szCs w:val="22"/>
          <w:lang w:eastAsia="ar-SA"/>
        </w:rPr>
        <w:t xml:space="preserve">Zmiana wynagrodzenia nastąpi w formie aneksu do umowy. </w:t>
      </w:r>
    </w:p>
    <w:p w:rsidR="001462B9" w:rsidRDefault="001462B9"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w:t>
      </w:r>
      <w:r w:rsidR="00BF2B7A">
        <w:rPr>
          <w:rFonts w:ascii="Arial" w:hAnsi="Arial" w:cs="Arial"/>
          <w:sz w:val="22"/>
          <w:szCs w:val="22"/>
        </w:rPr>
        <w:t>zawarcia</w:t>
      </w:r>
      <w:r w:rsidRPr="00D433F1">
        <w:rPr>
          <w:rFonts w:ascii="Arial" w:hAnsi="Arial" w:cs="Arial"/>
          <w:sz w:val="22"/>
          <w:szCs w:val="22"/>
        </w:rPr>
        <w:t xml:space="preserve"> umowy.</w:t>
      </w:r>
    </w:p>
    <w:p w:rsidR="00D433F1" w:rsidRPr="00A24016"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 xml:space="preserve">Zakończenie </w:t>
      </w:r>
      <w:r w:rsidR="0021557E">
        <w:rPr>
          <w:rFonts w:ascii="Arial" w:hAnsi="Arial" w:cs="Arial"/>
          <w:sz w:val="22"/>
          <w:szCs w:val="22"/>
        </w:rPr>
        <w:t>całości</w:t>
      </w:r>
      <w:r w:rsidR="0021557E" w:rsidRPr="00D433F1">
        <w:rPr>
          <w:rFonts w:ascii="Arial" w:hAnsi="Arial" w:cs="Arial"/>
          <w:sz w:val="22"/>
          <w:szCs w:val="22"/>
        </w:rPr>
        <w:t xml:space="preserve"> </w:t>
      </w:r>
      <w:r w:rsidRPr="00D433F1">
        <w:rPr>
          <w:rFonts w:ascii="Arial" w:hAnsi="Arial" w:cs="Arial"/>
          <w:sz w:val="22"/>
          <w:szCs w:val="22"/>
        </w:rPr>
        <w:t>robót</w:t>
      </w:r>
      <w:r w:rsidR="0021557E">
        <w:rPr>
          <w:rFonts w:ascii="Arial" w:hAnsi="Arial" w:cs="Arial"/>
          <w:sz w:val="22"/>
          <w:szCs w:val="22"/>
        </w:rPr>
        <w:t xml:space="preserve"> składających się na przedmiot umowy</w:t>
      </w:r>
      <w:r w:rsidRPr="00D433F1">
        <w:rPr>
          <w:rFonts w:ascii="Arial" w:hAnsi="Arial" w:cs="Arial"/>
          <w:sz w:val="22"/>
          <w:szCs w:val="22"/>
        </w:rPr>
        <w:t xml:space="preserve"> – </w:t>
      </w:r>
      <w:r w:rsidR="0013507B" w:rsidRPr="00A24016">
        <w:rPr>
          <w:rFonts w:ascii="Arial" w:hAnsi="Arial" w:cs="Arial"/>
          <w:b/>
          <w:sz w:val="22"/>
          <w:szCs w:val="22"/>
        </w:rPr>
        <w:t xml:space="preserve">w ciągu </w:t>
      </w:r>
      <w:r w:rsidR="005F294D">
        <w:rPr>
          <w:rFonts w:ascii="Arial" w:hAnsi="Arial" w:cs="Arial"/>
          <w:b/>
          <w:sz w:val="22"/>
          <w:szCs w:val="22"/>
        </w:rPr>
        <w:t>3</w:t>
      </w:r>
      <w:r w:rsidR="00BD4B47">
        <w:rPr>
          <w:rFonts w:ascii="Arial" w:hAnsi="Arial" w:cs="Arial"/>
          <w:b/>
          <w:sz w:val="22"/>
          <w:szCs w:val="22"/>
        </w:rPr>
        <w:t xml:space="preserve"> miesięcy</w:t>
      </w:r>
      <w:r w:rsidR="0013507B" w:rsidRPr="00A24016">
        <w:rPr>
          <w:rFonts w:ascii="Arial" w:hAnsi="Arial" w:cs="Arial"/>
          <w:b/>
          <w:sz w:val="22"/>
          <w:szCs w:val="22"/>
        </w:rPr>
        <w:t xml:space="preserve"> od zawarcia umowy</w:t>
      </w:r>
      <w:r w:rsidR="002A6B2D">
        <w:rPr>
          <w:rFonts w:ascii="Arial" w:hAnsi="Arial" w:cs="Arial"/>
          <w:b/>
          <w:sz w:val="22"/>
          <w:szCs w:val="22"/>
        </w:rPr>
        <w:t xml:space="preserve"> tj. do dnia ……</w:t>
      </w:r>
      <w:r w:rsidRPr="00A24016">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lastRenderedPageBreak/>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stwierdzenia błędów w dokumentacji projektowej Zamawiającego, których usunięcie będzie wymagało konsultacji z projektantem lub naniesienia poprawek/zmian w projekcie – o czas trwania konsultacji lub naniesienia poprawek/zmian;</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zwłoki w wydaniu przez organy administracji lub inne podmioty wymaganych decyzji, zezwoleń, uzgodnień z przyczyn niezawinionych przez Wykonawcę – o czas trwania przerwy z tego powodu.</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817ED4"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r w:rsidRPr="00817ED4">
        <w:rPr>
          <w:rFonts w:ascii="Arial" w:hAnsi="Arial" w:cs="Arial"/>
          <w:sz w:val="22"/>
          <w:szCs w:val="22"/>
        </w:rPr>
        <w:t>(tekst jedn. Dz. U. 201</w:t>
      </w:r>
      <w:r w:rsidR="00D233DC" w:rsidRPr="00817ED4">
        <w:rPr>
          <w:rFonts w:ascii="Arial" w:hAnsi="Arial" w:cs="Arial"/>
          <w:sz w:val="22"/>
          <w:szCs w:val="22"/>
        </w:rPr>
        <w:t>8</w:t>
      </w:r>
      <w:r w:rsidRPr="00817ED4">
        <w:rPr>
          <w:rFonts w:ascii="Arial" w:hAnsi="Arial" w:cs="Arial"/>
          <w:sz w:val="22"/>
          <w:szCs w:val="22"/>
        </w:rPr>
        <w:t>, poz. 1</w:t>
      </w:r>
      <w:r w:rsidR="00817ED4" w:rsidRPr="00817ED4">
        <w:rPr>
          <w:rFonts w:ascii="Arial" w:hAnsi="Arial" w:cs="Arial"/>
          <w:sz w:val="22"/>
          <w:szCs w:val="22"/>
        </w:rPr>
        <w:t>202</w:t>
      </w:r>
      <w:r w:rsidRPr="00817ED4">
        <w:rPr>
          <w:rFonts w:ascii="Arial" w:hAnsi="Arial" w:cs="Arial"/>
          <w:sz w:val="22"/>
          <w:szCs w:val="22"/>
        </w:rPr>
        <w:t xml:space="preserve"> z </w:t>
      </w:r>
      <w:proofErr w:type="spellStart"/>
      <w:r w:rsidRPr="00817ED4">
        <w:rPr>
          <w:rFonts w:ascii="Arial" w:hAnsi="Arial" w:cs="Arial"/>
          <w:sz w:val="22"/>
          <w:szCs w:val="22"/>
        </w:rPr>
        <w:t>późn</w:t>
      </w:r>
      <w:proofErr w:type="spellEnd"/>
      <w:r w:rsidRPr="00817ED4">
        <w:rPr>
          <w:rFonts w:ascii="Arial" w:hAnsi="Arial" w:cs="Arial"/>
          <w:sz w:val="22"/>
          <w:szCs w:val="22"/>
        </w:rPr>
        <w:t>. zm.);</w:t>
      </w:r>
    </w:p>
    <w:p w:rsidR="00D433F1" w:rsidRPr="00D433F1" w:rsidRDefault="00A9760D" w:rsidP="00D433F1">
      <w:pPr>
        <w:numPr>
          <w:ilvl w:val="0"/>
          <w:numId w:val="10"/>
        </w:numPr>
        <w:jc w:val="both"/>
        <w:rPr>
          <w:rFonts w:ascii="Arial" w:hAnsi="Arial" w:cs="Arial"/>
          <w:sz w:val="22"/>
          <w:szCs w:val="22"/>
        </w:rPr>
      </w:pPr>
      <w:r>
        <w:rPr>
          <w:rFonts w:ascii="Arial" w:hAnsi="Arial" w:cs="Arial"/>
          <w:sz w:val="22"/>
          <w:szCs w:val="22"/>
        </w:rPr>
        <w:t xml:space="preserve">Przedstawicielem </w:t>
      </w:r>
      <w:r w:rsidR="00D433F1" w:rsidRPr="00D433F1">
        <w:rPr>
          <w:rFonts w:ascii="Arial" w:hAnsi="Arial" w:cs="Arial"/>
          <w:sz w:val="22"/>
          <w:szCs w:val="22"/>
        </w:rPr>
        <w:t>Wykonawc</w:t>
      </w:r>
      <w:r>
        <w:rPr>
          <w:rFonts w:ascii="Arial" w:hAnsi="Arial" w:cs="Arial"/>
          <w:sz w:val="22"/>
          <w:szCs w:val="22"/>
        </w:rPr>
        <w:t>y przy realizacji zamówienia będzie</w:t>
      </w:r>
      <w:r w:rsidR="00D433F1" w:rsidRPr="00D433F1">
        <w:rPr>
          <w:rFonts w:ascii="Arial" w:hAnsi="Arial" w:cs="Arial"/>
          <w:sz w:val="22"/>
          <w:szCs w:val="22"/>
        </w:rPr>
        <w:t xml:space="preserve">: ……………………….……. </w:t>
      </w:r>
      <w:r>
        <w:rPr>
          <w:rFonts w:ascii="Arial" w:hAnsi="Arial" w:cs="Arial"/>
          <w:sz w:val="22"/>
          <w:szCs w:val="22"/>
        </w:rPr>
        <w:t>Przedstawiciel Wykonawcy</w:t>
      </w:r>
      <w:r w:rsidR="00D433F1" w:rsidRPr="00D433F1">
        <w:rPr>
          <w:rFonts w:ascii="Arial" w:hAnsi="Arial" w:cs="Arial"/>
          <w:sz w:val="22"/>
          <w:szCs w:val="22"/>
        </w:rPr>
        <w:t xml:space="preserve"> zobowiązuje się do prowadzenia prac i wypełniania swoich obowiązków zgodnie z odpowiednimi przepisami ustawy z dnia 7 lipca 1994 r. Prawo Budowlane.</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1" w:name="_Hlk512596154"/>
      <w:r w:rsidRPr="00D433F1">
        <w:rPr>
          <w:rFonts w:ascii="Arial" w:hAnsi="Arial" w:cs="Arial"/>
          <w:sz w:val="22"/>
          <w:szCs w:val="22"/>
        </w:rPr>
        <w:t>ubezpieczony od odpowiedzialności cywilnej w zakresie prowadzonej działalności gospodarczej związanej z przedmiotem zamówienia</w:t>
      </w:r>
      <w:bookmarkEnd w:id="1"/>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 i projektu.</w:t>
      </w:r>
    </w:p>
    <w:p w:rsidR="00D433F1" w:rsidRPr="00E635A9" w:rsidRDefault="00D433F1" w:rsidP="00E635A9">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E635A9">
        <w:rPr>
          <w:rFonts w:ascii="Arial" w:hAnsi="Arial" w:cs="Arial"/>
          <w:sz w:val="22"/>
          <w:szCs w:val="22"/>
        </w:rPr>
        <w:t xml:space="preserve"> Na zastosowane materiały/urządzenia Wykonawca obowiązany jest dostarczyć karty gwarancyjne.</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lastRenderedPageBreak/>
        <w:t xml:space="preserve">Zamawiający dopuszcza zmianę materiałów, sprzętu, urządzeń wskazanych w dokumentacji projektowej na inne </w:t>
      </w:r>
      <w:r w:rsidRPr="00D433F1">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 opisem przedmiotu umowy oraz projektem, a także z tych części robót, których one dotyczą. Rezygnacja ta nastąpi niezwłocznie po stwierdzeniu niezgodności w formie pisemnej.</w:t>
      </w:r>
    </w:p>
    <w:p w:rsidR="00D433F1" w:rsidRPr="00D433F1" w:rsidRDefault="00D433F1" w:rsidP="00D433F1">
      <w:pPr>
        <w:numPr>
          <w:ilvl w:val="0"/>
          <w:numId w:val="12"/>
        </w:numPr>
        <w:jc w:val="both"/>
        <w:rPr>
          <w:rFonts w:ascii="Arial" w:hAnsi="Arial" w:cs="Arial"/>
          <w:bCs/>
          <w:sz w:val="22"/>
          <w:szCs w:val="22"/>
        </w:rPr>
      </w:pPr>
      <w:bookmarkStart w:id="2" w:name="_Hlk510508317"/>
      <w:r w:rsidRPr="00D433F1">
        <w:rPr>
          <w:rFonts w:ascii="Arial" w:hAnsi="Arial" w:cs="Arial"/>
          <w:sz w:val="22"/>
          <w:szCs w:val="22"/>
        </w:rPr>
        <w:t xml:space="preserve">Inspektor nadzoru </w:t>
      </w:r>
      <w:bookmarkEnd w:id="2"/>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Umowy. </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3"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3"/>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D433F1">
      <w:pPr>
        <w:numPr>
          <w:ilvl w:val="1"/>
          <w:numId w:val="32"/>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podwykonawcom płatności </w:t>
      </w:r>
      <w:r w:rsidRPr="00D433F1">
        <w:rPr>
          <w:rFonts w:ascii="Arial" w:eastAsia="Calibri" w:hAnsi="Arial" w:cs="Arial"/>
          <w:sz w:val="22"/>
          <w:szCs w:val="22"/>
          <w:lang w:eastAsia="en-US"/>
        </w:rPr>
        <w:lastRenderedPageBreak/>
        <w:t>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t>Ww. wynagrodzenie zawiera koszty wynikające wprost z projekt</w:t>
      </w:r>
      <w:r w:rsidR="00CD0EF9">
        <w:rPr>
          <w:rFonts w:ascii="Arial" w:hAnsi="Arial" w:cs="Arial"/>
          <w:sz w:val="22"/>
          <w:szCs w:val="22"/>
        </w:rPr>
        <w:t>u</w:t>
      </w:r>
      <w:r w:rsidRPr="00D433F1">
        <w:rPr>
          <w:rFonts w:ascii="Arial" w:hAnsi="Arial" w:cs="Arial"/>
          <w:sz w:val="22"/>
          <w:szCs w:val="22"/>
        </w:rPr>
        <w:t>, specyfikacji istotnych warunków zamówienia i umowy oraz w nich nieujęte, a bez których nie można wykonać zamówienia tj.:</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związane z odbiorami robót (badania, pomiary, inwentaryzacja powykonawcza i inne),</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 xml:space="preserve">inne koszty wynikające z </w:t>
      </w:r>
      <w:r w:rsidR="00AC2309">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zmniejszenia zakresu przedmiotu zamówienia, gdy jego wykonanie w pierwotnym zakresie nie leży w interesie publicznym lub rezygnacji przez Zamawiającego z realizacji części przedmiotu zamówienia, Zamawiającemu przysługuje prawo do zmniejszenia wynagrodzenia 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lastRenderedPageBreak/>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A9760D" w:rsidRDefault="00D433F1" w:rsidP="0021557E">
      <w:pPr>
        <w:numPr>
          <w:ilvl w:val="0"/>
          <w:numId w:val="18"/>
        </w:numPr>
        <w:tabs>
          <w:tab w:val="clear" w:pos="720"/>
          <w:tab w:val="num" w:pos="360"/>
        </w:tabs>
        <w:ind w:left="360"/>
        <w:jc w:val="both"/>
        <w:rPr>
          <w:rFonts w:ascii="Arial" w:hAnsi="Arial" w:cs="Arial"/>
          <w:sz w:val="22"/>
          <w:szCs w:val="22"/>
        </w:rPr>
      </w:pPr>
      <w:r w:rsidRPr="00A9760D">
        <w:rPr>
          <w:rFonts w:ascii="Arial" w:hAnsi="Arial" w:cs="Arial"/>
          <w:sz w:val="22"/>
          <w:szCs w:val="22"/>
        </w:rPr>
        <w:t>Strony postanawiają, że rozliczenie za wykonane roboty odbędzie się</w:t>
      </w:r>
      <w:r w:rsidR="0021557E" w:rsidRPr="00A9760D">
        <w:rPr>
          <w:rFonts w:ascii="Arial" w:hAnsi="Arial" w:cs="Arial"/>
          <w:sz w:val="22"/>
          <w:szCs w:val="22"/>
        </w:rPr>
        <w:t xml:space="preserve"> </w:t>
      </w:r>
      <w:r w:rsidRPr="00A9760D">
        <w:rPr>
          <w:rFonts w:ascii="Arial" w:hAnsi="Arial" w:cs="Arial"/>
          <w:sz w:val="22"/>
          <w:szCs w:val="22"/>
        </w:rPr>
        <w:t xml:space="preserve">fakturą końcową wystawioną po zakończeniu </w:t>
      </w:r>
      <w:r w:rsidR="007B4139" w:rsidRPr="00A9760D">
        <w:rPr>
          <w:rFonts w:ascii="Arial" w:hAnsi="Arial" w:cs="Arial"/>
          <w:sz w:val="22"/>
          <w:szCs w:val="22"/>
        </w:rPr>
        <w:t xml:space="preserve">i odbiorze </w:t>
      </w:r>
      <w:r w:rsidR="00864F4C" w:rsidRPr="00A9760D">
        <w:rPr>
          <w:rFonts w:ascii="Arial" w:hAnsi="Arial" w:cs="Arial"/>
          <w:sz w:val="22"/>
          <w:szCs w:val="22"/>
        </w:rPr>
        <w:t>wszystkich</w:t>
      </w:r>
      <w:r w:rsidRPr="00A9760D">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Co najmniej 5 dni przed wyznaczonym terminem odbioru Wykonawca dostarczy kompletną dokumentację powykonawczą tj. </w:t>
      </w:r>
      <w:r w:rsidR="0058706E">
        <w:rPr>
          <w:rFonts w:ascii="Arial" w:hAnsi="Arial" w:cs="Arial"/>
          <w:sz w:val="22"/>
        </w:rPr>
        <w:t>rysunki zamienne do nieistotnych zmian w projekcie</w:t>
      </w:r>
      <w:r w:rsidRPr="0058706E">
        <w:rPr>
          <w:rFonts w:ascii="Arial" w:hAnsi="Arial" w:cs="Arial"/>
          <w:sz w:val="22"/>
          <w:szCs w:val="22"/>
        </w:rPr>
        <w:t xml:space="preserve">, inwentaryzację </w:t>
      </w:r>
      <w:r w:rsidR="0058706E" w:rsidRPr="0058706E">
        <w:rPr>
          <w:rFonts w:ascii="Arial" w:hAnsi="Arial" w:cs="Arial"/>
          <w:sz w:val="22"/>
          <w:szCs w:val="22"/>
        </w:rPr>
        <w:t>powykonawczą</w:t>
      </w:r>
      <w:r w:rsidRPr="0058706E">
        <w:rPr>
          <w:rFonts w:ascii="Arial" w:hAnsi="Arial" w:cs="Arial"/>
          <w:sz w:val="22"/>
          <w:szCs w:val="22"/>
        </w:rPr>
        <w:t xml:space="preserve">, protokoły, wyniki badań </w:t>
      </w:r>
      <w:r w:rsidR="0058706E" w:rsidRPr="0058706E">
        <w:rPr>
          <w:rFonts w:ascii="Arial" w:hAnsi="Arial" w:cs="Arial"/>
          <w:sz w:val="22"/>
          <w:szCs w:val="22"/>
        </w:rPr>
        <w:t>i pomiarów</w:t>
      </w:r>
      <w:r w:rsidRPr="0058706E">
        <w:rPr>
          <w:rFonts w:ascii="Arial" w:hAnsi="Arial" w:cs="Arial"/>
          <w:sz w:val="22"/>
          <w:szCs w:val="22"/>
        </w:rPr>
        <w:t xml:space="preserve">, certyfikaty, deklaracje zgodności, </w:t>
      </w:r>
      <w:r w:rsidRPr="00D433F1">
        <w:rPr>
          <w:rFonts w:ascii="Arial" w:hAnsi="Arial" w:cs="Arial"/>
          <w:sz w:val="22"/>
          <w:szCs w:val="22"/>
        </w:rPr>
        <w:t>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lastRenderedPageBreak/>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D433F1" w:rsidRPr="00D433F1" w:rsidRDefault="00D433F1" w:rsidP="00D433F1">
      <w:pPr>
        <w:numPr>
          <w:ilvl w:val="0"/>
          <w:numId w:val="5"/>
        </w:numPr>
        <w:jc w:val="both"/>
        <w:rPr>
          <w:rFonts w:ascii="Arial" w:hAnsi="Arial" w:cs="Arial"/>
          <w:bCs/>
          <w:sz w:val="22"/>
          <w:szCs w:val="22"/>
        </w:rPr>
      </w:pPr>
      <w:bookmarkStart w:id="4" w:name="_Hlk512598024"/>
      <w:r w:rsidRPr="00D433F1">
        <w:rPr>
          <w:rFonts w:ascii="Arial" w:hAnsi="Arial" w:cs="Arial"/>
          <w:sz w:val="22"/>
          <w:szCs w:val="22"/>
        </w:rPr>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C92D37">
        <w:rPr>
          <w:rFonts w:ascii="Arial" w:hAnsi="Arial" w:cs="Arial"/>
          <w:sz w:val="22"/>
          <w:szCs w:val="22"/>
        </w:rPr>
        <w:t>3</w:t>
      </w:r>
      <w:r w:rsidRPr="00D433F1">
        <w:rPr>
          <w:rFonts w:ascii="Arial" w:hAnsi="Arial" w:cs="Arial"/>
          <w:sz w:val="22"/>
          <w:szCs w:val="22"/>
        </w:rPr>
        <w:t xml:space="preserve"> % ceny ofertowej brutto 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p>
    <w:bookmarkEnd w:id="4"/>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lastRenderedPageBreak/>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5"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5"/>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BD4B3A" w:rsidRDefault="00BD4B3A"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E635A9">
      <w:pPr>
        <w:numPr>
          <w:ilvl w:val="1"/>
          <w:numId w:val="33"/>
        </w:numPr>
        <w:tabs>
          <w:tab w:val="left" w:pos="567"/>
          <w:tab w:val="left" w:pos="851"/>
        </w:tabs>
        <w:jc w:val="both"/>
        <w:rPr>
          <w:rFonts w:ascii="Arial" w:eastAsia="Calibri" w:hAnsi="Arial" w:cs="Arial"/>
          <w:sz w:val="22"/>
          <w:szCs w:val="22"/>
          <w:lang w:eastAsia="en-US"/>
        </w:rPr>
      </w:pPr>
      <w:bookmarkStart w:id="6"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6"/>
    <w:p w:rsidR="00D433F1" w:rsidRPr="00E635A9" w:rsidRDefault="00D433F1" w:rsidP="00E635A9">
      <w:pPr>
        <w:numPr>
          <w:ilvl w:val="1"/>
          <w:numId w:val="33"/>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Koszty usunięcia wad przez osobę trzecią </w:t>
      </w:r>
      <w:r w:rsidR="00CD0EF9">
        <w:rPr>
          <w:rFonts w:ascii="Arial" w:eastAsia="Calibri" w:hAnsi="Arial" w:cs="Arial"/>
          <w:sz w:val="22"/>
          <w:szCs w:val="22"/>
          <w:lang w:eastAsia="en-US"/>
        </w:rPr>
        <w:t>Z</w:t>
      </w:r>
      <w:r w:rsidRPr="00D433F1">
        <w:rPr>
          <w:rFonts w:ascii="Arial" w:eastAsia="Calibri" w:hAnsi="Arial" w:cs="Arial"/>
          <w:sz w:val="22"/>
          <w:szCs w:val="22"/>
          <w:lang w:eastAsia="en-US"/>
        </w:rPr>
        <w:t>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7" w:name="_Hlk510514797"/>
      <w:r w:rsidRPr="00D433F1">
        <w:rPr>
          <w:rFonts w:ascii="Arial" w:hAnsi="Arial" w:cs="Arial"/>
          <w:sz w:val="22"/>
          <w:szCs w:val="22"/>
        </w:rPr>
        <w:t xml:space="preserve">od daty odstąpienia od umowy </w:t>
      </w:r>
      <w:bookmarkEnd w:id="7"/>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8"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Nieistotne zmiany w dokumentacji projektowej wynikające z zasad wiedzy technicznej – zgodnie z definicją zawartą w art. 36a ust. 5 i 5a ustawy Prawo budowlane </w:t>
      </w:r>
      <w:r w:rsidR="00CD0EF9">
        <w:rPr>
          <w:rFonts w:ascii="Arial" w:hAnsi="Arial" w:cs="Arial"/>
          <w:bCs/>
          <w:sz w:val="22"/>
          <w:szCs w:val="22"/>
        </w:rPr>
        <w:t xml:space="preserve">- </w:t>
      </w:r>
      <w:r w:rsidRPr="00D433F1">
        <w:rPr>
          <w:rFonts w:ascii="Arial" w:hAnsi="Arial" w:cs="Arial"/>
          <w:bCs/>
          <w:sz w:val="22"/>
          <w:szCs w:val="22"/>
        </w:rPr>
        <w:t>muszą być zaakceptowane przez projektanta.</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 Zaistnienia konieczności zrealizowania projektu przy zastosowaniu innych rozwiązań technicznych/technologicznych niż wskazane w ofercie,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9"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geologicznych skutkujących niemożliwością zrealizowania przedmiotu umowy przy dotychczasowych założeniach technologicznych.</w:t>
      </w:r>
    </w:p>
    <w:p w:rsidR="002D6D1C" w:rsidRPr="002D6D1C" w:rsidRDefault="002D6D1C" w:rsidP="002D6D1C">
      <w:pPr>
        <w:numPr>
          <w:ilvl w:val="1"/>
          <w:numId w:val="27"/>
        </w:numPr>
        <w:jc w:val="both"/>
        <w:rPr>
          <w:rFonts w:ascii="Arial" w:hAnsi="Arial" w:cs="Arial"/>
          <w:bCs/>
          <w:sz w:val="22"/>
          <w:szCs w:val="22"/>
        </w:rPr>
      </w:pPr>
      <w:r w:rsidRPr="00D433F1">
        <w:rPr>
          <w:rFonts w:ascii="Arial" w:hAnsi="Arial" w:cs="Arial"/>
          <w:bCs/>
          <w:sz w:val="22"/>
          <w:szCs w:val="22"/>
        </w:rPr>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wskazanych w dokumentacji projektowej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p>
    <w:bookmarkEnd w:id="8"/>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9"/>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CD0EF9" w:rsidRDefault="00CD0EF9" w:rsidP="00C35E10">
      <w:pPr>
        <w:rPr>
          <w:rFonts w:ascii="Arial" w:hAnsi="Arial" w:cs="Arial"/>
          <w:b/>
          <w:bCs/>
          <w:sz w:val="22"/>
          <w:szCs w:val="22"/>
        </w:rPr>
      </w:pPr>
    </w:p>
    <w:p w:rsidR="003A1A47" w:rsidRDefault="003A1A47" w:rsidP="00C35E10">
      <w:pPr>
        <w:rPr>
          <w:rFonts w:ascii="Arial" w:hAnsi="Arial" w:cs="Arial"/>
          <w:b/>
          <w:bCs/>
          <w:sz w:val="22"/>
          <w:szCs w:val="22"/>
        </w:rPr>
      </w:pPr>
      <w:bookmarkStart w:id="10" w:name="_GoBack"/>
      <w:bookmarkEnd w:id="10"/>
    </w:p>
    <w:p w:rsidR="00C00388" w:rsidRPr="00CD0EF9" w:rsidRDefault="00C00388" w:rsidP="00C00388">
      <w:pPr>
        <w:rPr>
          <w:rFonts w:ascii="Arial" w:hAnsi="Arial" w:cs="Arial"/>
          <w:bCs/>
          <w:i/>
          <w:sz w:val="18"/>
          <w:szCs w:val="18"/>
        </w:rPr>
      </w:pPr>
      <w:r w:rsidRPr="00CD0EF9">
        <w:rPr>
          <w:rFonts w:ascii="Arial" w:hAnsi="Arial" w:cs="Arial"/>
          <w:bCs/>
          <w:i/>
          <w:sz w:val="18"/>
          <w:szCs w:val="18"/>
        </w:rPr>
        <w:t>Załączniki:</w:t>
      </w:r>
    </w:p>
    <w:p w:rsidR="00C00388" w:rsidRPr="00CD0EF9" w:rsidRDefault="00C00388" w:rsidP="00C00388">
      <w:pPr>
        <w:rPr>
          <w:rFonts w:ascii="Arial" w:hAnsi="Arial" w:cs="Arial"/>
          <w:bCs/>
          <w:i/>
          <w:sz w:val="18"/>
          <w:szCs w:val="18"/>
        </w:rPr>
      </w:pPr>
      <w:r w:rsidRPr="00CD0EF9">
        <w:rPr>
          <w:rFonts w:ascii="Arial" w:hAnsi="Arial" w:cs="Arial"/>
          <w:bCs/>
          <w:i/>
          <w:sz w:val="18"/>
          <w:szCs w:val="18"/>
        </w:rPr>
        <w:t>Nr 1 – polisa ubezpieczeniowa OC Wykonawcy</w:t>
      </w:r>
    </w:p>
    <w:sectPr w:rsidR="00C00388" w:rsidRPr="00CD0EF9">
      <w:headerReference w:type="default" r:id="rId8"/>
      <w:footerReference w:type="even" r:id="rId9"/>
      <w:footerReference w:type="default" r:id="rId1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9E3" w:rsidRDefault="00B239E3">
      <w:r>
        <w:separator/>
      </w:r>
    </w:p>
  </w:endnote>
  <w:endnote w:type="continuationSeparator" w:id="0">
    <w:p w:rsidR="00B239E3" w:rsidRDefault="00B2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15F0" w:rsidRDefault="00DE15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p>
  <w:p w:rsidR="00DE15F0" w:rsidRDefault="00DE15F0">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9E3" w:rsidRDefault="00B239E3">
      <w:r>
        <w:separator/>
      </w:r>
    </w:p>
  </w:footnote>
  <w:footnote w:type="continuationSeparator" w:id="0">
    <w:p w:rsidR="00B239E3" w:rsidRDefault="00B2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Nagwek"/>
    </w:pPr>
    <w:r>
      <w:t>Przedsiębiorstwo Komunalne „</w:t>
    </w:r>
    <w:proofErr w:type="spellStart"/>
    <w:r>
      <w:t>Pegimek</w:t>
    </w:r>
    <w:proofErr w:type="spellEnd"/>
    <w:r>
      <w:t>” Sp. z o.o. w Świdniku</w:t>
    </w:r>
  </w:p>
  <w:p w:rsidR="00DE15F0" w:rsidRDefault="00DE15F0">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6F9E58C4"/>
    <w:lvl w:ilvl="0" w:tplc="AC6EAD90">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2438E"/>
    <w:multiLevelType w:val="hybridMultilevel"/>
    <w:tmpl w:val="07E63DFE"/>
    <w:lvl w:ilvl="0" w:tplc="92E2848E">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A84953"/>
    <w:multiLevelType w:val="hybridMultilevel"/>
    <w:tmpl w:val="5F4A227A"/>
    <w:lvl w:ilvl="0" w:tplc="17A204E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0B2D90"/>
    <w:multiLevelType w:val="hybridMultilevel"/>
    <w:tmpl w:val="F7B43B22"/>
    <w:lvl w:ilvl="0" w:tplc="DF60E8C4">
      <w:start w:val="1"/>
      <w:numFmt w:val="lowerLetter"/>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BC65D9"/>
    <w:multiLevelType w:val="hybridMultilevel"/>
    <w:tmpl w:val="8550F064"/>
    <w:lvl w:ilvl="0" w:tplc="5428FE6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9D7796E"/>
    <w:multiLevelType w:val="hybridMultilevel"/>
    <w:tmpl w:val="6F2E9836"/>
    <w:lvl w:ilvl="0" w:tplc="9F6A3102">
      <w:start w:val="1"/>
      <w:numFmt w:val="decimal"/>
      <w:lvlText w:val="%1."/>
      <w:lvlJc w:val="left"/>
      <w:pPr>
        <w:ind w:left="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47"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2"/>
  </w:num>
  <w:num w:numId="3">
    <w:abstractNumId w:val="26"/>
  </w:num>
  <w:num w:numId="4">
    <w:abstractNumId w:val="35"/>
  </w:num>
  <w:num w:numId="5">
    <w:abstractNumId w:val="23"/>
  </w:num>
  <w:num w:numId="6">
    <w:abstractNumId w:val="0"/>
  </w:num>
  <w:num w:numId="7">
    <w:abstractNumId w:val="14"/>
  </w:num>
  <w:num w:numId="8">
    <w:abstractNumId w:val="38"/>
  </w:num>
  <w:num w:numId="9">
    <w:abstractNumId w:val="32"/>
  </w:num>
  <w:num w:numId="10">
    <w:abstractNumId w:val="25"/>
  </w:num>
  <w:num w:numId="11">
    <w:abstractNumId w:val="6"/>
  </w:num>
  <w:num w:numId="12">
    <w:abstractNumId w:val="43"/>
  </w:num>
  <w:num w:numId="13">
    <w:abstractNumId w:val="19"/>
  </w:num>
  <w:num w:numId="14">
    <w:abstractNumId w:val="7"/>
  </w:num>
  <w:num w:numId="15">
    <w:abstractNumId w:val="40"/>
  </w:num>
  <w:num w:numId="16">
    <w:abstractNumId w:val="36"/>
  </w:num>
  <w:num w:numId="17">
    <w:abstractNumId w:val="22"/>
  </w:num>
  <w:num w:numId="18">
    <w:abstractNumId w:val="31"/>
  </w:num>
  <w:num w:numId="19">
    <w:abstractNumId w:val="45"/>
  </w:num>
  <w:num w:numId="20">
    <w:abstractNumId w:val="8"/>
  </w:num>
  <w:num w:numId="21">
    <w:abstractNumId w:val="11"/>
  </w:num>
  <w:num w:numId="22">
    <w:abstractNumId w:val="41"/>
  </w:num>
  <w:num w:numId="23">
    <w:abstractNumId w:val="18"/>
  </w:num>
  <w:num w:numId="24">
    <w:abstractNumId w:val="34"/>
  </w:num>
  <w:num w:numId="25">
    <w:abstractNumId w:val="47"/>
  </w:num>
  <w:num w:numId="26">
    <w:abstractNumId w:val="24"/>
  </w:num>
  <w:num w:numId="27">
    <w:abstractNumId w:val="12"/>
  </w:num>
  <w:num w:numId="28">
    <w:abstractNumId w:val="21"/>
  </w:num>
  <w:num w:numId="29">
    <w:abstractNumId w:val="9"/>
  </w:num>
  <w:num w:numId="30">
    <w:abstractNumId w:val="16"/>
  </w:num>
  <w:num w:numId="31">
    <w:abstractNumId w:val="39"/>
  </w:num>
  <w:num w:numId="32">
    <w:abstractNumId w:val="27"/>
  </w:num>
  <w:num w:numId="33">
    <w:abstractNumId w:val="29"/>
  </w:num>
  <w:num w:numId="34">
    <w:abstractNumId w:val="13"/>
  </w:num>
  <w:num w:numId="35">
    <w:abstractNumId w:val="5"/>
  </w:num>
  <w:num w:numId="36">
    <w:abstractNumId w:val="37"/>
  </w:num>
  <w:num w:numId="37">
    <w:abstractNumId w:val="17"/>
  </w:num>
  <w:num w:numId="38">
    <w:abstractNumId w:val="28"/>
  </w:num>
  <w:num w:numId="39">
    <w:abstractNumId w:val="44"/>
  </w:num>
  <w:num w:numId="40">
    <w:abstractNumId w:val="33"/>
  </w:num>
  <w:num w:numId="41">
    <w:abstractNumId w:val="15"/>
  </w:num>
  <w:num w:numId="42">
    <w:abstractNumId w:val="10"/>
  </w:num>
  <w:num w:numId="43">
    <w:abstractNumId w:val="20"/>
  </w:num>
  <w:num w:numId="44">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912FF"/>
    <w:rsid w:val="000A28BE"/>
    <w:rsid w:val="000C5547"/>
    <w:rsid w:val="000D3773"/>
    <w:rsid w:val="000F76A5"/>
    <w:rsid w:val="000F7FF8"/>
    <w:rsid w:val="00111254"/>
    <w:rsid w:val="0013507B"/>
    <w:rsid w:val="001462B9"/>
    <w:rsid w:val="00160E40"/>
    <w:rsid w:val="001E6205"/>
    <w:rsid w:val="001E72A6"/>
    <w:rsid w:val="00210995"/>
    <w:rsid w:val="0021557E"/>
    <w:rsid w:val="00240C09"/>
    <w:rsid w:val="00274070"/>
    <w:rsid w:val="002A6B2D"/>
    <w:rsid w:val="002D6994"/>
    <w:rsid w:val="002D6D1C"/>
    <w:rsid w:val="002E2AD9"/>
    <w:rsid w:val="0033475C"/>
    <w:rsid w:val="0033604F"/>
    <w:rsid w:val="00360A97"/>
    <w:rsid w:val="00363CD9"/>
    <w:rsid w:val="00375808"/>
    <w:rsid w:val="003A1A47"/>
    <w:rsid w:val="003C317A"/>
    <w:rsid w:val="0043326C"/>
    <w:rsid w:val="00471D08"/>
    <w:rsid w:val="004B6747"/>
    <w:rsid w:val="00530C93"/>
    <w:rsid w:val="00536BCE"/>
    <w:rsid w:val="0058706E"/>
    <w:rsid w:val="00590EB0"/>
    <w:rsid w:val="005F294D"/>
    <w:rsid w:val="00621CA3"/>
    <w:rsid w:val="006B085D"/>
    <w:rsid w:val="00781AA3"/>
    <w:rsid w:val="007B3849"/>
    <w:rsid w:val="007B4139"/>
    <w:rsid w:val="007C1168"/>
    <w:rsid w:val="007D0A44"/>
    <w:rsid w:val="007E26CB"/>
    <w:rsid w:val="00817ED4"/>
    <w:rsid w:val="00864F4C"/>
    <w:rsid w:val="008761D6"/>
    <w:rsid w:val="0089232D"/>
    <w:rsid w:val="008C6E3A"/>
    <w:rsid w:val="008D01D2"/>
    <w:rsid w:val="00912BBE"/>
    <w:rsid w:val="00946FEF"/>
    <w:rsid w:val="009C37A4"/>
    <w:rsid w:val="009C3DE9"/>
    <w:rsid w:val="00A22018"/>
    <w:rsid w:val="00A24016"/>
    <w:rsid w:val="00A26A59"/>
    <w:rsid w:val="00A9760D"/>
    <w:rsid w:val="00AC2309"/>
    <w:rsid w:val="00AE180E"/>
    <w:rsid w:val="00AF5285"/>
    <w:rsid w:val="00B05788"/>
    <w:rsid w:val="00B113A8"/>
    <w:rsid w:val="00B239E3"/>
    <w:rsid w:val="00B363B5"/>
    <w:rsid w:val="00B96051"/>
    <w:rsid w:val="00BB363E"/>
    <w:rsid w:val="00BD4B3A"/>
    <w:rsid w:val="00BD4B47"/>
    <w:rsid w:val="00BF2B7A"/>
    <w:rsid w:val="00C00388"/>
    <w:rsid w:val="00C22536"/>
    <w:rsid w:val="00C35E10"/>
    <w:rsid w:val="00C404D4"/>
    <w:rsid w:val="00C554A9"/>
    <w:rsid w:val="00C92D37"/>
    <w:rsid w:val="00CB2F3B"/>
    <w:rsid w:val="00CC112C"/>
    <w:rsid w:val="00CD0EF9"/>
    <w:rsid w:val="00CE0FD4"/>
    <w:rsid w:val="00CF5C4C"/>
    <w:rsid w:val="00D04846"/>
    <w:rsid w:val="00D125AA"/>
    <w:rsid w:val="00D233DC"/>
    <w:rsid w:val="00D31F11"/>
    <w:rsid w:val="00D34EBF"/>
    <w:rsid w:val="00D42953"/>
    <w:rsid w:val="00D433F1"/>
    <w:rsid w:val="00D6324E"/>
    <w:rsid w:val="00D748F9"/>
    <w:rsid w:val="00D9092E"/>
    <w:rsid w:val="00D9140C"/>
    <w:rsid w:val="00DA4155"/>
    <w:rsid w:val="00DE15F0"/>
    <w:rsid w:val="00DF66F6"/>
    <w:rsid w:val="00E33A77"/>
    <w:rsid w:val="00E465D8"/>
    <w:rsid w:val="00E635A9"/>
    <w:rsid w:val="00F817F6"/>
    <w:rsid w:val="00F86314"/>
    <w:rsid w:val="00FD1A3B"/>
    <w:rsid w:val="00FF1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2ACE289"/>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DE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5A19F-DCB0-4212-97F6-54FAA58B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5221</Words>
  <Characters>31326</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6</cp:revision>
  <cp:lastPrinted>2018-07-27T07:07:00Z</cp:lastPrinted>
  <dcterms:created xsi:type="dcterms:W3CDTF">2019-04-15T08:10:00Z</dcterms:created>
  <dcterms:modified xsi:type="dcterms:W3CDTF">2019-04-16T10:42:00Z</dcterms:modified>
</cp:coreProperties>
</file>